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B6CF5" w14:textId="77777777" w:rsidR="009B4B9F" w:rsidRDefault="009B4B9F" w:rsidP="009B4B9F">
      <w:pPr>
        <w:pStyle w:val="ListParagraph"/>
        <w:shd w:val="clear" w:color="auto" w:fill="000000" w:themeFill="text1"/>
        <w:spacing w:before="240" w:after="0" w:line="240" w:lineRule="auto"/>
        <w:ind w:left="0"/>
        <w:jc w:val="center"/>
        <w:rPr>
          <w:rFonts w:ascii="Book Antiqua" w:hAnsi="Book Antiqua"/>
          <w:b/>
          <w:color w:val="A8D08D" w:themeColor="accent6" w:themeTint="99"/>
        </w:rPr>
      </w:pPr>
    </w:p>
    <w:p w14:paraId="1C097ECF" w14:textId="622F9030" w:rsidR="009B4B9F" w:rsidRPr="009B4B9F" w:rsidRDefault="009B4B9F" w:rsidP="009B4B9F">
      <w:pPr>
        <w:pStyle w:val="ListParagraph"/>
        <w:shd w:val="clear" w:color="auto" w:fill="000000" w:themeFill="text1"/>
        <w:spacing w:after="240" w:line="480" w:lineRule="auto"/>
        <w:ind w:left="0"/>
        <w:jc w:val="center"/>
        <w:rPr>
          <w:rFonts w:ascii="Book Antiqua" w:hAnsi="Book Antiqua"/>
          <w:b/>
          <w:color w:val="A8D08D" w:themeColor="accent6" w:themeTint="99"/>
          <w:sz w:val="32"/>
        </w:rPr>
      </w:pPr>
      <w:r w:rsidRPr="009B4B9F">
        <w:rPr>
          <w:rFonts w:ascii="Book Antiqua" w:hAnsi="Book Antiqua"/>
          <w:b/>
          <w:color w:val="A8D08D" w:themeColor="accent6" w:themeTint="99"/>
          <w:sz w:val="32"/>
        </w:rPr>
        <w:t>CD and Loan Renewals</w:t>
      </w:r>
    </w:p>
    <w:p w14:paraId="7F793D04" w14:textId="77777777" w:rsidR="009B4B9F" w:rsidRPr="009B4B9F" w:rsidRDefault="009B4B9F" w:rsidP="009B4B9F">
      <w:pPr>
        <w:rPr>
          <w:rFonts w:ascii="Book Antiqua" w:hAnsi="Book Antiqua"/>
        </w:rPr>
      </w:pPr>
    </w:p>
    <w:tbl>
      <w:tblPr>
        <w:tblStyle w:val="TableGrid"/>
        <w:tblW w:w="0" w:type="auto"/>
        <w:tblInd w:w="85" w:type="dxa"/>
        <w:tblLook w:val="04A0" w:firstRow="1" w:lastRow="0" w:firstColumn="1" w:lastColumn="0" w:noHBand="0" w:noVBand="1"/>
      </w:tblPr>
      <w:tblGrid>
        <w:gridCol w:w="2160"/>
        <w:gridCol w:w="2160"/>
        <w:gridCol w:w="4901"/>
      </w:tblGrid>
      <w:tr w:rsidR="009B4B9F" w:rsidRPr="009B4B9F" w14:paraId="1879F982" w14:textId="77777777" w:rsidTr="009B4B9F">
        <w:tc>
          <w:tcPr>
            <w:tcW w:w="2160" w:type="dxa"/>
          </w:tcPr>
          <w:p w14:paraId="6926B95D" w14:textId="77777777" w:rsidR="009B4B9F" w:rsidRPr="009B4B9F" w:rsidRDefault="009B4B9F" w:rsidP="002A1C37">
            <w:pPr>
              <w:pStyle w:val="ListParagraph"/>
              <w:ind w:left="0"/>
              <w:rPr>
                <w:rFonts w:ascii="Book Antiqua" w:hAnsi="Book Antiqua"/>
                <w:b/>
              </w:rPr>
            </w:pPr>
            <w:r w:rsidRPr="009B4B9F">
              <w:rPr>
                <w:rFonts w:ascii="Book Antiqua" w:hAnsi="Book Antiqua"/>
                <w:b/>
              </w:rPr>
              <w:t xml:space="preserve">Products established </w:t>
            </w:r>
            <w:r w:rsidRPr="009B4B9F">
              <w:rPr>
                <w:rFonts w:ascii="Book Antiqua" w:hAnsi="Book Antiqua"/>
                <w:b/>
                <w:i/>
                <w:u w:val="single"/>
              </w:rPr>
              <w:t>before</w:t>
            </w:r>
            <w:r w:rsidRPr="009B4B9F">
              <w:rPr>
                <w:rFonts w:ascii="Book Antiqua" w:hAnsi="Book Antiqua"/>
                <w:b/>
              </w:rPr>
              <w:t xml:space="preserve"> May 11, 2018</w:t>
            </w:r>
          </w:p>
        </w:tc>
        <w:tc>
          <w:tcPr>
            <w:tcW w:w="2160" w:type="dxa"/>
          </w:tcPr>
          <w:p w14:paraId="0DA208D1" w14:textId="77777777" w:rsidR="009B4B9F" w:rsidRPr="009B4B9F" w:rsidRDefault="009B4B9F" w:rsidP="002A1C37">
            <w:pPr>
              <w:pStyle w:val="ListParagraph"/>
              <w:ind w:left="0"/>
              <w:rPr>
                <w:rFonts w:ascii="Book Antiqua" w:hAnsi="Book Antiqua"/>
              </w:rPr>
            </w:pPr>
            <w:r w:rsidRPr="009B4B9F">
              <w:rPr>
                <w:rFonts w:ascii="Book Antiqua" w:hAnsi="Book Antiqua"/>
              </w:rPr>
              <w:t>Step One—First Renewal</w:t>
            </w:r>
          </w:p>
          <w:p w14:paraId="1C390036" w14:textId="77777777" w:rsidR="009B4B9F" w:rsidRPr="009B4B9F" w:rsidRDefault="009B4B9F" w:rsidP="002A1C37">
            <w:pPr>
              <w:pStyle w:val="ListParagraph"/>
              <w:ind w:left="0"/>
              <w:rPr>
                <w:rFonts w:ascii="Book Antiqua" w:hAnsi="Book Antiqua"/>
              </w:rPr>
            </w:pPr>
            <w:r w:rsidRPr="009B4B9F">
              <w:rPr>
                <w:rFonts w:ascii="Book Antiqua" w:hAnsi="Book Antiqua"/>
              </w:rPr>
              <w:t>Obtain beneficial Ownership form at the time of the first renewal following that date.</w:t>
            </w:r>
          </w:p>
        </w:tc>
        <w:tc>
          <w:tcPr>
            <w:tcW w:w="4901" w:type="dxa"/>
          </w:tcPr>
          <w:p w14:paraId="51C9D9A1" w14:textId="77777777" w:rsidR="009B4B9F" w:rsidRPr="009B4B9F" w:rsidRDefault="009B4B9F" w:rsidP="002A1C37">
            <w:pPr>
              <w:pStyle w:val="ListParagraph"/>
              <w:ind w:left="0"/>
              <w:rPr>
                <w:rFonts w:ascii="Book Antiqua" w:hAnsi="Book Antiqua"/>
              </w:rPr>
            </w:pPr>
            <w:r w:rsidRPr="009B4B9F">
              <w:rPr>
                <w:rFonts w:ascii="Book Antiqua" w:hAnsi="Book Antiqua"/>
              </w:rPr>
              <w:t>Step Two—Subsequent Renewals</w:t>
            </w:r>
          </w:p>
          <w:p w14:paraId="47AED04D" w14:textId="77777777" w:rsidR="009B4B9F" w:rsidRPr="009B4B9F" w:rsidRDefault="009B4B9F" w:rsidP="009B4B9F">
            <w:pPr>
              <w:pStyle w:val="ListParagraph"/>
              <w:spacing w:after="120"/>
              <w:ind w:left="0"/>
              <w:rPr>
                <w:rFonts w:ascii="Book Antiqua" w:hAnsi="Book Antiqua"/>
              </w:rPr>
            </w:pPr>
            <w:r w:rsidRPr="009B4B9F">
              <w:rPr>
                <w:rFonts w:ascii="Book Antiqua" w:hAnsi="Book Antiqua"/>
              </w:rPr>
              <w:t>At the time of each subsequent renewal, to the extent that the legal entity customer and the financial service or product (e.g., loan or CD) remains the same, the customer certifies or confirms that the beneficial ownership information previously obtained is accurate and up-to-date, and the institution has no knowledge of facts that would reasonably call into question the reliability of the information, the financial institution would not be required to collect the beneficial ownership information again.</w:t>
            </w:r>
          </w:p>
        </w:tc>
      </w:tr>
      <w:tr w:rsidR="009B4B9F" w:rsidRPr="009B4B9F" w14:paraId="1B0B4976" w14:textId="77777777" w:rsidTr="009B4B9F">
        <w:tc>
          <w:tcPr>
            <w:tcW w:w="2160" w:type="dxa"/>
          </w:tcPr>
          <w:p w14:paraId="1A65BA68" w14:textId="77777777" w:rsidR="009B4B9F" w:rsidRPr="009B4B9F" w:rsidRDefault="009B4B9F" w:rsidP="002A1C37">
            <w:pPr>
              <w:pStyle w:val="ListParagraph"/>
              <w:ind w:left="0"/>
              <w:rPr>
                <w:rFonts w:ascii="Book Antiqua" w:hAnsi="Book Antiqua"/>
                <w:b/>
              </w:rPr>
            </w:pPr>
            <w:r w:rsidRPr="009B4B9F">
              <w:rPr>
                <w:rFonts w:ascii="Book Antiqua" w:hAnsi="Book Antiqua"/>
                <w:b/>
              </w:rPr>
              <w:t xml:space="preserve">Products opened </w:t>
            </w:r>
            <w:r w:rsidRPr="009B4B9F">
              <w:rPr>
                <w:rFonts w:ascii="Book Antiqua" w:hAnsi="Book Antiqua"/>
                <w:b/>
                <w:i/>
                <w:u w:val="single"/>
              </w:rPr>
              <w:t>after</w:t>
            </w:r>
            <w:r w:rsidRPr="009B4B9F">
              <w:rPr>
                <w:rFonts w:ascii="Book Antiqua" w:hAnsi="Book Antiqua"/>
                <w:b/>
              </w:rPr>
              <w:t xml:space="preserve"> May 11, 2018</w:t>
            </w:r>
          </w:p>
        </w:tc>
        <w:tc>
          <w:tcPr>
            <w:tcW w:w="2160" w:type="dxa"/>
          </w:tcPr>
          <w:p w14:paraId="4BACFAE0" w14:textId="77777777" w:rsidR="009B4B9F" w:rsidRPr="009B4B9F" w:rsidRDefault="009B4B9F" w:rsidP="002A1C37">
            <w:pPr>
              <w:pStyle w:val="ListParagraph"/>
              <w:ind w:left="0"/>
              <w:rPr>
                <w:rFonts w:ascii="Book Antiqua" w:hAnsi="Book Antiqua"/>
              </w:rPr>
            </w:pPr>
            <w:r w:rsidRPr="009B4B9F">
              <w:rPr>
                <w:rFonts w:ascii="Book Antiqua" w:hAnsi="Book Antiqua"/>
              </w:rPr>
              <w:t xml:space="preserve">Step One—Obtain beneficial ownership </w:t>
            </w:r>
            <w:bookmarkStart w:id="0" w:name="_GoBack"/>
            <w:bookmarkEnd w:id="0"/>
            <w:r w:rsidRPr="009B4B9F">
              <w:rPr>
                <w:rFonts w:ascii="Book Antiqua" w:hAnsi="Book Antiqua"/>
              </w:rPr>
              <w:t>at Account Opening</w:t>
            </w:r>
          </w:p>
        </w:tc>
        <w:tc>
          <w:tcPr>
            <w:tcW w:w="4901" w:type="dxa"/>
          </w:tcPr>
          <w:p w14:paraId="46214E13" w14:textId="77777777" w:rsidR="009B4B9F" w:rsidRPr="009B4B9F" w:rsidRDefault="009B4B9F" w:rsidP="002A1C37">
            <w:pPr>
              <w:pStyle w:val="ListParagraph"/>
              <w:ind w:left="0"/>
              <w:rPr>
                <w:rFonts w:ascii="Book Antiqua" w:hAnsi="Book Antiqua"/>
              </w:rPr>
            </w:pPr>
            <w:r w:rsidRPr="009B4B9F">
              <w:rPr>
                <w:rFonts w:ascii="Book Antiqua" w:hAnsi="Book Antiqua"/>
              </w:rPr>
              <w:t>Step Two—Subsequent Renewals</w:t>
            </w:r>
          </w:p>
          <w:p w14:paraId="06BCFB8F" w14:textId="77777777" w:rsidR="009B4B9F" w:rsidRPr="009B4B9F" w:rsidRDefault="009B4B9F" w:rsidP="009B4B9F">
            <w:pPr>
              <w:pStyle w:val="ListParagraph"/>
              <w:spacing w:after="120"/>
              <w:ind w:left="0"/>
              <w:rPr>
                <w:rFonts w:ascii="Book Antiqua" w:hAnsi="Book Antiqua"/>
              </w:rPr>
            </w:pPr>
            <w:r w:rsidRPr="009B4B9F">
              <w:rPr>
                <w:rFonts w:ascii="Book Antiqua" w:hAnsi="Book Antiqua"/>
              </w:rPr>
              <w:t>if at the time the customer certifies its beneficial ownership information, it also agrees to notify the financial institution of any change in such information, such agreement can be considered the certification or confirmation from the customer and should be documented and maintained as such, so long as the loan or CD is outstanding.</w:t>
            </w:r>
          </w:p>
        </w:tc>
      </w:tr>
    </w:tbl>
    <w:p w14:paraId="1B0DE34D" w14:textId="77777777" w:rsidR="009B4B9F" w:rsidRPr="009B4B9F" w:rsidRDefault="009B4B9F" w:rsidP="009B4B9F">
      <w:pPr>
        <w:pStyle w:val="ListParagraph"/>
        <w:rPr>
          <w:rFonts w:ascii="Book Antiqua" w:hAnsi="Book Antiqua"/>
        </w:rPr>
      </w:pPr>
    </w:p>
    <w:p w14:paraId="6A798D28" w14:textId="77777777" w:rsidR="00077AA2" w:rsidRDefault="00077AA2"/>
    <w:sectPr w:rsidR="00077AA2" w:rsidSect="009B4B9F">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9F"/>
    <w:rsid w:val="00077AA2"/>
    <w:rsid w:val="001E7DA2"/>
    <w:rsid w:val="003D7AC9"/>
    <w:rsid w:val="004712F5"/>
    <w:rsid w:val="008D7035"/>
    <w:rsid w:val="008E1539"/>
    <w:rsid w:val="009B4B9F"/>
    <w:rsid w:val="00FA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29A7"/>
  <w15:chartTrackingRefBased/>
  <w15:docId w15:val="{BE2C7559-6BAC-464E-8D06-A4150FDE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B9F"/>
    <w:pPr>
      <w:ind w:left="720"/>
      <w:contextualSpacing/>
    </w:pPr>
  </w:style>
  <w:style w:type="table" w:styleId="TableGrid">
    <w:name w:val="Table Grid"/>
    <w:basedOn w:val="TableNormal"/>
    <w:uiPriority w:val="39"/>
    <w:rsid w:val="009B4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mirgon</dc:creator>
  <cp:keywords/>
  <dc:description/>
  <cp:lastModifiedBy>shari mirgon</cp:lastModifiedBy>
  <cp:revision>1</cp:revision>
  <dcterms:created xsi:type="dcterms:W3CDTF">2018-04-16T17:03:00Z</dcterms:created>
  <dcterms:modified xsi:type="dcterms:W3CDTF">2018-04-16T17:08:00Z</dcterms:modified>
</cp:coreProperties>
</file>